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282A04E" w14:textId="3DC5A3AD" w:rsidR="004F325C" w:rsidRDefault="004F325C" w:rsidP="00021254">
      <w:pPr>
        <w:pStyle w:val="Nagwek1"/>
        <w:spacing w:before="120"/>
        <w:rPr>
          <w:rFonts w:cs="Arial"/>
          <w:color w:val="C00000"/>
          <w:sz w:val="24"/>
          <w:szCs w:val="24"/>
        </w:rPr>
      </w:pPr>
      <w:r>
        <w:rPr>
          <w:color w:val="C00000"/>
          <w:sz w:val="24"/>
          <w:szCs w:val="24"/>
        </w:rPr>
        <w:t xml:space="preserve">Odpowiedź na interpelację </w:t>
      </w:r>
      <w:r w:rsidR="00021254">
        <w:rPr>
          <w:color w:val="C00000"/>
          <w:sz w:val="24"/>
          <w:szCs w:val="24"/>
        </w:rPr>
        <w:t xml:space="preserve">nr </w:t>
      </w:r>
      <w:r w:rsidR="00117C70">
        <w:rPr>
          <w:color w:val="C00000"/>
          <w:sz w:val="24"/>
          <w:szCs w:val="24"/>
        </w:rPr>
        <w:t>22</w:t>
      </w:r>
      <w:r w:rsidR="00636320">
        <w:rPr>
          <w:color w:val="C00000"/>
          <w:sz w:val="24"/>
          <w:szCs w:val="24"/>
        </w:rPr>
        <w:t xml:space="preserve">/17 </w:t>
      </w:r>
      <w:r w:rsidR="00117C70">
        <w:rPr>
          <w:color w:val="C00000"/>
          <w:sz w:val="24"/>
          <w:szCs w:val="24"/>
        </w:rPr>
        <w:t>radnych: Piotra Strzembosza i Krzysztofa Kawęckiego</w:t>
      </w:r>
      <w:r w:rsidR="00117C70">
        <w:rPr>
          <w:color w:val="C00000"/>
          <w:sz w:val="24"/>
          <w:szCs w:val="24"/>
        </w:rPr>
        <w:br/>
      </w:r>
      <w:r w:rsidR="00117C70" w:rsidRPr="00227E06">
        <w:rPr>
          <w:color w:val="C00000"/>
          <w:sz w:val="24"/>
          <w:szCs w:val="24"/>
        </w:rPr>
        <w:t xml:space="preserve">w sprawie </w:t>
      </w:r>
      <w:r w:rsidR="00117C70">
        <w:rPr>
          <w:color w:val="C00000"/>
          <w:sz w:val="24"/>
          <w:szCs w:val="24"/>
        </w:rPr>
        <w:t>Warszawskiej Opery Kameralnej</w:t>
      </w:r>
      <w:r w:rsidR="00636320">
        <w:rPr>
          <w:color w:val="C00000"/>
          <w:sz w:val="24"/>
          <w:szCs w:val="24"/>
        </w:rPr>
        <w:br/>
      </w:r>
    </w:p>
    <w:p w14:paraId="4282A04F" w14:textId="77AFE51E" w:rsidR="004F325C" w:rsidRPr="004F325C" w:rsidRDefault="004F325C" w:rsidP="00021254">
      <w:pPr>
        <w:spacing w:before="120"/>
        <w:rPr>
          <w:rFonts w:cs="Arial"/>
          <w:sz w:val="22"/>
          <w:szCs w:val="22"/>
        </w:rPr>
      </w:pPr>
      <w:r w:rsidRPr="004F325C">
        <w:rPr>
          <w:rFonts w:cs="Arial"/>
          <w:sz w:val="22"/>
          <w:szCs w:val="22"/>
        </w:rPr>
        <w:t xml:space="preserve">Warszawa, </w:t>
      </w:r>
      <w:r w:rsidR="00117C70">
        <w:rPr>
          <w:rFonts w:cs="Arial"/>
          <w:sz w:val="22"/>
          <w:szCs w:val="22"/>
        </w:rPr>
        <w:t>23 sierpnia</w:t>
      </w:r>
      <w:r w:rsidR="00021254">
        <w:rPr>
          <w:rFonts w:cs="Arial"/>
          <w:sz w:val="22"/>
          <w:szCs w:val="22"/>
        </w:rPr>
        <w:t xml:space="preserve"> 2017</w:t>
      </w:r>
      <w:r w:rsidRPr="004F325C">
        <w:rPr>
          <w:rFonts w:cs="Arial"/>
          <w:sz w:val="22"/>
          <w:szCs w:val="22"/>
        </w:rPr>
        <w:t xml:space="preserve"> r.</w:t>
      </w:r>
    </w:p>
    <w:p w14:paraId="75E0359F" w14:textId="1A3713E1" w:rsidR="00117C70" w:rsidRPr="00117C70" w:rsidRDefault="00117C70" w:rsidP="00117C70">
      <w:pPr>
        <w:spacing w:before="120"/>
        <w:rPr>
          <w:rFonts w:cs="Arial"/>
          <w:sz w:val="22"/>
          <w:szCs w:val="22"/>
        </w:rPr>
      </w:pPr>
      <w:r w:rsidRPr="00117C70">
        <w:rPr>
          <w:rFonts w:cs="Arial"/>
          <w:sz w:val="22"/>
          <w:szCs w:val="22"/>
        </w:rPr>
        <w:t>W odpowiedzi na pytania, które wystosowali Panowie w piśmie do Przewodniczącego Sejmiku Województwa Mazowieckiego w dniu 4 sierpnia 2017 r. w sprawie Warszawskiej Opery Kameralnej, Departament Kultury, Promocji i Turystyki Urzędu Marszałkowskiego Województwa Mazowie</w:t>
      </w:r>
      <w:r w:rsidRPr="00117C70">
        <w:rPr>
          <w:rFonts w:cs="Arial"/>
          <w:sz w:val="22"/>
          <w:szCs w:val="22"/>
        </w:rPr>
        <w:t xml:space="preserve">ckiego </w:t>
      </w:r>
      <w:r w:rsidRPr="00117C70">
        <w:rPr>
          <w:rFonts w:cs="Arial"/>
          <w:sz w:val="22"/>
          <w:szCs w:val="22"/>
        </w:rPr>
        <w:t>w Warszawie wyjaśnia co następuje:</w:t>
      </w:r>
    </w:p>
    <w:p w14:paraId="3576006F" w14:textId="34FCB3C5" w:rsidR="00117C70" w:rsidRPr="00117C70" w:rsidRDefault="00117C70" w:rsidP="00117C70">
      <w:pPr>
        <w:spacing w:before="120"/>
        <w:ind w:firstLine="708"/>
        <w:rPr>
          <w:rFonts w:cs="Arial"/>
          <w:sz w:val="22"/>
          <w:szCs w:val="22"/>
        </w:rPr>
      </w:pPr>
      <w:r w:rsidRPr="00117C70">
        <w:rPr>
          <w:rFonts w:cs="Arial"/>
          <w:b/>
          <w:sz w:val="22"/>
          <w:szCs w:val="22"/>
        </w:rPr>
        <w:t>Ad 1</w:t>
      </w:r>
      <w:r w:rsidRPr="00117C70">
        <w:rPr>
          <w:rFonts w:cs="Arial"/>
          <w:sz w:val="22"/>
          <w:szCs w:val="22"/>
        </w:rPr>
        <w:t>. Przeprowadzona w Warszawskiej Operze Kameralnej restrukturyzacja w zakresie zatrudnienia była wynikiem nałożenia przez Zarząd Województwa Mazowieckiego na p. o. dyrektora tej instytucji Panią Alicję Węgorzewską – Whiskerd zobowiązania do racjonalizacji w zakresie dysponowania dotacją organizatora oraz uzdrowienia sytuacji kadrowej,  tj. przerostu kadrowego negatywnie wpływającego na działalność Opery. Należy zauważyć, że w samej sferze instrumentalnej instytucja ta tylko w orkiestrze tzw. klasycznej (nie mylić z MACV – Musicae Antiqua Collegium Varsoviense) zatrudniała blisko 80 osób, co sprawiało, że WOK miała na etatach więcej muzyków niż Opera Narodowa. Taka sytuacja była efektem prowadzenie przez WOK trzech orkiestr, które z czasem zostały skupione w dwóch zespołach (połączono orkiestrę WOK i Sinfoniettę w jedną orkiestrę). Orkiestra liczyła nadal jednak blisko 80 osób, w sytuacji w której kanał orkiestry w teatrze Warszawskiej Opery Kameralnej  może pomieścić tylko ok. 40 osób. Ponadto należy zauważyć, że formuła repertuarowa, która został wypracowana blisko 30 lat temu, w miarę upływu czasu została zweryfikowana - na niekorzyść - przez publiczność, a wiele spektakli nie budziło zainteresowania melomanów. W</w:t>
      </w:r>
      <w:r w:rsidRPr="00117C70">
        <w:rPr>
          <w:rFonts w:cs="Arial"/>
          <w:sz w:val="22"/>
          <w:szCs w:val="22"/>
        </w:rPr>
        <w:t xml:space="preserve">arto nadmienić, że już jeden </w:t>
      </w:r>
      <w:r w:rsidRPr="00117C70">
        <w:rPr>
          <w:rFonts w:cs="Arial"/>
          <w:sz w:val="22"/>
          <w:szCs w:val="22"/>
        </w:rPr>
        <w:t>z poprzednich dyrektorów – ś. p. Pan Stefan Sutkowski w sposób istotny okroił listę oper Mozarta wystawianych w ramach Festiwalu  z powodu znikomego zainteresowania publiczności oraz nierentowności tych spektakli. Racjonaliza</w:t>
      </w:r>
      <w:r w:rsidRPr="00117C70">
        <w:rPr>
          <w:rFonts w:cs="Arial"/>
          <w:sz w:val="22"/>
          <w:szCs w:val="22"/>
        </w:rPr>
        <w:t xml:space="preserve">cję kosztów </w:t>
      </w:r>
      <w:r w:rsidRPr="00117C70">
        <w:rPr>
          <w:rFonts w:cs="Arial"/>
          <w:sz w:val="22"/>
          <w:szCs w:val="22"/>
        </w:rPr>
        <w:t xml:space="preserve">funkcjonowania Opery należało zatem rozpocząć od reformy jej zasobu osobowego. Wyniki kontroli przeprowadzonej w ubiegłych latach wykazały kuriozalny przerost zatrudnienia i istnienie niemal fikcyjnych etatów. To sprawiało, że wynagrodzenie pobierały osoby stawiające się w pracy tylko raz w sezonie. </w:t>
      </w:r>
    </w:p>
    <w:p w14:paraId="0AFB7CEB" w14:textId="134A6BC4" w:rsidR="00117C70" w:rsidRPr="00117C70" w:rsidRDefault="00117C70" w:rsidP="00117C70">
      <w:pPr>
        <w:spacing w:before="120"/>
        <w:ind w:firstLine="708"/>
        <w:rPr>
          <w:rStyle w:val="Uwydatnienie"/>
          <w:rFonts w:eastAsiaTheme="majorEastAsia"/>
          <w:bCs/>
          <w:i w:val="0"/>
          <w:iCs w:val="0"/>
          <w:sz w:val="22"/>
          <w:szCs w:val="22"/>
        </w:rPr>
      </w:pPr>
      <w:r w:rsidRPr="00117C70">
        <w:rPr>
          <w:rFonts w:cs="Arial"/>
          <w:sz w:val="22"/>
          <w:szCs w:val="22"/>
        </w:rPr>
        <w:t>Aktualnie zespół artystyczny WOK jest właściwy i wystarczający do re</w:t>
      </w:r>
      <w:r>
        <w:rPr>
          <w:rFonts w:cs="Arial"/>
          <w:sz w:val="22"/>
          <w:szCs w:val="22"/>
        </w:rPr>
        <w:t xml:space="preserve">alizacji planów artystycznych, </w:t>
      </w:r>
      <w:r w:rsidRPr="00117C70">
        <w:rPr>
          <w:rFonts w:cs="Arial"/>
          <w:sz w:val="22"/>
          <w:szCs w:val="22"/>
        </w:rPr>
        <w:t>co więcej jest on skonstruowany na identycznych zasadach jak pod</w:t>
      </w:r>
      <w:r w:rsidRPr="00117C70">
        <w:rPr>
          <w:rFonts w:cs="Arial"/>
          <w:sz w:val="22"/>
          <w:szCs w:val="22"/>
        </w:rPr>
        <w:t xml:space="preserve">obne zespoły zarówno w Polsce, </w:t>
      </w:r>
      <w:r w:rsidRPr="00117C70">
        <w:rPr>
          <w:rFonts w:cs="Arial"/>
          <w:sz w:val="22"/>
          <w:szCs w:val="22"/>
        </w:rPr>
        <w:t>jak i na świecie. Dalsze tolerowanie poprzedniej sytuacji, byłoby jaskra</w:t>
      </w:r>
      <w:r w:rsidRPr="00117C70">
        <w:rPr>
          <w:rFonts w:cs="Arial"/>
          <w:sz w:val="22"/>
          <w:szCs w:val="22"/>
        </w:rPr>
        <w:t xml:space="preserve">wym przejawem niegospodarności </w:t>
      </w:r>
      <w:r w:rsidRPr="00117C70">
        <w:rPr>
          <w:rFonts w:cs="Arial"/>
          <w:sz w:val="22"/>
          <w:szCs w:val="22"/>
        </w:rPr>
        <w:t>i marnotrawienia środków publicznych. Naraziłoby to obecną Dyrekcję Opery na zarzut działania na szkodę interesu publicznego, bowiem środki publiczne, a taką jest dotacja przekazywana przez organizatora samorządowej instytucji kultury – winny być wydatkowane w sposób racjonalny i efektywny. W ocenie Zarządu Województwa Mazowieckiego właśnie do tego zmierzają i rokują sukces działania dyrekcji Opery bez uszczerbku dla poziomu artystycznego instytucji. Decyzja WOK o ukierunkowaniu realizowanego dotychczas programu artystycznego do repertuaru barokowo – klasycznego, przede wszystkim w oparciu o orkiestrę grającą na instrumentach dawnych (MACV), a także Zespół Wokalny jest racjonalna i gruntownie przemyślana. Zasadność tej decyzji potwierdziło m.in. przychylne przyjęcie przez publiczność występów artystycznych zaprezentowanych przez muzyków w trakcie 27. Festiwalu Mozartowskiego. Wystąpił na nim wyłącznie Zespół Instrumentów Dawnych WOK (bez udziału orkiestry Sinfonietty), wykon</w:t>
      </w:r>
      <w:r w:rsidRPr="00117C70">
        <w:rPr>
          <w:rFonts w:cs="Arial"/>
          <w:sz w:val="22"/>
          <w:szCs w:val="22"/>
        </w:rPr>
        <w:t xml:space="preserve">ując utwory w taki sam sposób, </w:t>
      </w:r>
      <w:r w:rsidRPr="00117C70">
        <w:rPr>
          <w:rFonts w:cs="Arial"/>
          <w:sz w:val="22"/>
          <w:szCs w:val="22"/>
        </w:rPr>
        <w:t>jak w okresie, w którym zostały one skomponowane. WOK upatruje w tym szansę swojego rozwoju, budowy prestiżu i pozycji w świecie. W szczególności zaś takie ukierunkowanie działalności artystycznej pozycjonuje WOK jako unikalną instytucję tego typu w skali światowej, ponieważ żaden</w:t>
      </w:r>
      <w:r w:rsidRPr="00117C70">
        <w:rPr>
          <w:rFonts w:cs="Arial"/>
          <w:sz w:val="22"/>
          <w:szCs w:val="22"/>
        </w:rPr>
        <w:t xml:space="preserve"> inny teatr operowy na świecie </w:t>
      </w:r>
      <w:r w:rsidRPr="00117C70">
        <w:rPr>
          <w:rFonts w:cs="Arial"/>
          <w:sz w:val="22"/>
          <w:szCs w:val="22"/>
        </w:rPr>
        <w:t xml:space="preserve">nie dysponuje etatową orkiestrą grającą na starych instrumentach, która pełniłaby funkcję zespołu akompaniującego w spektaklach operowych. W razie zaś ewentualnego czasowego zapotrzebowania, WOK ma zamiar angażowania śpiewaków – solistów i </w:t>
      </w:r>
      <w:r w:rsidRPr="00117C70">
        <w:rPr>
          <w:rFonts w:cs="Arial"/>
          <w:sz w:val="22"/>
          <w:szCs w:val="22"/>
        </w:rPr>
        <w:lastRenderedPageBreak/>
        <w:t xml:space="preserve">dyrygentów spoza Warszawskiej Opery Kameralnej </w:t>
      </w:r>
      <w:r w:rsidRPr="00117C70">
        <w:rPr>
          <w:rFonts w:cs="Arial"/>
          <w:bCs/>
          <w:sz w:val="22"/>
          <w:szCs w:val="22"/>
        </w:rPr>
        <w:t xml:space="preserve">jedynie </w:t>
      </w:r>
      <w:r w:rsidRPr="00117C70">
        <w:rPr>
          <w:rFonts w:cs="Arial"/>
          <w:bCs/>
          <w:sz w:val="22"/>
          <w:szCs w:val="22"/>
        </w:rPr>
        <w:t>w oparciu o odrębne kontrakty, a więc na zasadzie doraźnej współpracy (impresaryjnej), a nie ich stałego zatrudnienia</w:t>
      </w:r>
      <w:r w:rsidRPr="00117C70">
        <w:rPr>
          <w:rFonts w:cs="Arial"/>
          <w:sz w:val="22"/>
          <w:szCs w:val="22"/>
        </w:rPr>
        <w:t xml:space="preserve">. Powyższe </w:t>
      </w:r>
      <w:r w:rsidRPr="00117C70">
        <w:rPr>
          <w:rFonts w:cs="Arial"/>
          <w:bCs/>
          <w:spacing w:val="3"/>
          <w:sz w:val="22"/>
          <w:szCs w:val="22"/>
        </w:rPr>
        <w:t xml:space="preserve">ukierunkowanie działalności WOK przyniosło spodziewane efekty już w trakcie pierwszego w tym roku wyjazdu zagranicznego do Sankt Petersburga, w trakcie którego wystawiono operę </w:t>
      </w:r>
      <w:r w:rsidRPr="00117C70">
        <w:rPr>
          <w:rFonts w:cs="Arial"/>
          <w:iCs/>
          <w:sz w:val="22"/>
          <w:szCs w:val="22"/>
        </w:rPr>
        <w:t>„Imeneo”</w:t>
      </w:r>
      <w:r w:rsidRPr="00117C70">
        <w:rPr>
          <w:rFonts w:cs="Arial"/>
          <w:sz w:val="22"/>
          <w:szCs w:val="22"/>
        </w:rPr>
        <w:t xml:space="preserve"> Jerzego Fryderyka Haendla w ramach Międzynarodowego Festiwalu Oper Kameralnych.</w:t>
      </w:r>
      <w:r w:rsidRPr="00117C70">
        <w:rPr>
          <w:rFonts w:cs="Arial"/>
          <w:bCs/>
          <w:spacing w:val="3"/>
          <w:sz w:val="22"/>
          <w:szCs w:val="22"/>
        </w:rPr>
        <w:t xml:space="preserve"> Entuzjastyczne przyjęcie ww. opery w St. Petersburgu potwierdza słuszność i zasadność decyzji </w:t>
      </w:r>
      <w:r w:rsidRPr="00117C70">
        <w:rPr>
          <w:rFonts w:cs="Arial"/>
          <w:bCs/>
          <w:i/>
          <w:spacing w:val="3"/>
          <w:sz w:val="22"/>
          <w:szCs w:val="22"/>
        </w:rPr>
        <w:t>o</w:t>
      </w:r>
      <w:r w:rsidRPr="00117C70">
        <w:rPr>
          <w:rStyle w:val="Uwydatnienie"/>
          <w:rFonts w:eastAsiaTheme="majorEastAsia" w:cs="Arial"/>
          <w:sz w:val="22"/>
          <w:szCs w:val="22"/>
        </w:rPr>
        <w:t xml:space="preserve"> realizacji repertuaru barokowo – klasycznego i dalszym funkcjonowaniu Opery w oparciu o taki repertuar, zwłaszcza że Zespół Instrumentów Dawnych (MACV) umiejętnie oddaje ducha i klimat tamtego okresu. Ponadto, fenomenalne wykonanie opery Don Giovanni w dniu 12 czerwca 2017 r. w Filharmonii Narodowej na rozpoczęcie Festiwalu Mozartowskiego przez orkiestrę instrumentów dawnych MACV stanowczo przeczy wszelkim podnoszonym przez opinie publiczną twierdzeniom, że nie można wykonywać oper bez Sinfonietty. W trakcie Gali na zakończenie Festiwalu Mozartowskiego (w dniu 15 lipca 2017 r. w Teatrze Polskim) publiczność nagrodziła muzyków orkiestry MACV owacjami na stojąco.</w:t>
      </w:r>
    </w:p>
    <w:p w14:paraId="6CF3E7A2" w14:textId="42E6C248" w:rsidR="00117C70" w:rsidRPr="00117C70" w:rsidRDefault="00117C70" w:rsidP="00117C70">
      <w:pPr>
        <w:spacing w:before="120"/>
        <w:ind w:firstLine="708"/>
        <w:rPr>
          <w:rFonts w:eastAsiaTheme="majorEastAsia"/>
          <w:sz w:val="22"/>
          <w:szCs w:val="22"/>
        </w:rPr>
      </w:pPr>
      <w:r w:rsidRPr="00117C70">
        <w:rPr>
          <w:rFonts w:cs="Arial"/>
          <w:b/>
          <w:sz w:val="22"/>
          <w:szCs w:val="22"/>
        </w:rPr>
        <w:t>Ad 2.</w:t>
      </w:r>
      <w:r w:rsidRPr="00117C70">
        <w:rPr>
          <w:rFonts w:ascii="Times New Roman" w:hAnsi="Times New Roman"/>
          <w:b/>
          <w:sz w:val="22"/>
          <w:szCs w:val="22"/>
        </w:rPr>
        <w:t xml:space="preserve"> </w:t>
      </w:r>
      <w:r w:rsidRPr="00117C70">
        <w:rPr>
          <w:rFonts w:cs="Arial"/>
          <w:sz w:val="22"/>
          <w:szCs w:val="22"/>
        </w:rPr>
        <w:t xml:space="preserve"> Redukcja zatrudnienia miała za zadanie efektywne zarządzanie budżetem instytucji, intensyfikowanie jej działalności artystycznej przy maksymalnym wykorzystaniu środków publicznych. Dotychczasowa polityka Dyrekcji Warszawskiej Opery Kameralnej obok wypłacanych wynagrodzeń tytułem umów o pracę nakładała na dyrektora obowiązek dodatkowych świadczeń pieniężnych za każdy wykonany spektakl bądź koncert. To sprawiało, że każdy koncert bądź spektakl generował dodatkowe koszty na poziomie od 30 do 50 tysięcy złotych w sytuacji, w której pracownicy artystyczni Warszawskiej Opery Kameralnej pobierali wynagrodzenia za „gotowość” do pracy. Wprowadzenie tzw. spektakli i koncertów „normowych” zostało przeprowadzone przez poprzedników pani Alicji Wegorzewskiej – Whiskerd w sposób niewłaściwy i w efekcie skutkuje teraz koniecznością zwrotu pieniędzy za tzw. „ponadnormówki”. Dotychczasowy</w:t>
      </w:r>
      <w:r w:rsidRPr="00117C70">
        <w:rPr>
          <w:rFonts w:eastAsia="Arial Unicode MS" w:cs="Arial"/>
          <w:sz w:val="22"/>
          <w:szCs w:val="22"/>
        </w:rPr>
        <w:t xml:space="preserve"> poziom zatrudnienia był także zbyt wysoki w stosunku do infrastruktury, którą dysponuje WOK  (wielkości sceny, jej pojemności, zaplecza technicznego, budynków, wyposażenia). Nie dawała ona bowiem możliwości zapewnienia wszystkim, zatrudnianym do czasu zwolnienia grupowego pracownikom, pracy przewidzianej w zawartych z nimi umowach o pracę. </w:t>
      </w:r>
      <w:r w:rsidRPr="00117C70">
        <w:rPr>
          <w:rFonts w:cs="Arial"/>
          <w:sz w:val="22"/>
          <w:szCs w:val="22"/>
        </w:rPr>
        <w:t>Zatrudnianie na podstawie umów o pracę muzyków należących do dwóch orkiestr (łącznie ponad 100 osób), 55 solistów oraz 6 dyrygentów przez operę kameralną, której widownia może pomieścić maksymalnie 159 widzów było całkowicie nieopłacalne, nieefektywne i nie pozwalało na dłuższe działanie WOK w takiej formie. Tak wysoki poziom stałego zatrudnienia odbiegał zresztą od przeciętnej liczby zatrudnionych w innych instytucjach tego typu w Polsce. Wielokrotnie prowadziło to do sytuacji, w której pracownicy występowali kilka razy w roku lub wcale (otrzymując co miesiąc wynagrodzenie). Poza tym, ze względu na liczbę pracowników oraz ograniczenia budżetowe, ich płace zasadnicze były (i w dalszym ciągu są) stosunkowo niskie. W związku z tym, pracownikom przysługiwało dodatkowe wynagrodzenie za występy</w:t>
      </w:r>
      <w:r w:rsidRPr="00117C70">
        <w:rPr>
          <w:rFonts w:cs="Arial"/>
          <w:sz w:val="22"/>
          <w:szCs w:val="22"/>
        </w:rPr>
        <w:t xml:space="preserve">, konieczność wypłaty którego, </w:t>
      </w:r>
      <w:r w:rsidRPr="00117C70">
        <w:rPr>
          <w:rFonts w:cs="Arial"/>
          <w:sz w:val="22"/>
          <w:szCs w:val="22"/>
        </w:rPr>
        <w:t>w ramach ograniczonego budżetu, prowadziła do sytuacji, w których Opery nie było stać na rozbudowę repertuaru i pełne wykorzystanie jej potencjału. Ponieważ jej działalność ma charakter publiczny i jest finansowana w znacznej mierze ze środków publicznych, Dyrekcja WOK, działając zgodnie z oczekiwaniami organizatora, podjęła konieczną w tej sytuacji decyzję o reorganizacji swojej</w:t>
      </w:r>
      <w:r w:rsidRPr="00117C70">
        <w:rPr>
          <w:rFonts w:cs="Arial"/>
          <w:sz w:val="22"/>
          <w:szCs w:val="22"/>
        </w:rPr>
        <w:t xml:space="preserve"> struktury. Decyzja ta pozwoli </w:t>
      </w:r>
      <w:r w:rsidRPr="00117C70">
        <w:rPr>
          <w:rFonts w:cs="Arial"/>
          <w:sz w:val="22"/>
          <w:szCs w:val="22"/>
        </w:rPr>
        <w:t>w przyszłości na bardziej efektywne i przede wszystkim – gospodarne wykorzystanie środków publicznych. Przy czym nie chodziło o osiągnięcie tylko oszczędności ale przede wszystkim o pozyskanie środków na działalność merytoryczną. Wdrożona wskutek reorganizacji nowa struktura jest zde</w:t>
      </w:r>
      <w:r w:rsidRPr="00117C70">
        <w:rPr>
          <w:rFonts w:cs="Arial"/>
          <w:sz w:val="22"/>
          <w:szCs w:val="22"/>
        </w:rPr>
        <w:t>cydowanie bardziej uzasadniona</w:t>
      </w:r>
      <w:r w:rsidRPr="00117C70">
        <w:rPr>
          <w:rFonts w:cs="Arial"/>
          <w:sz w:val="22"/>
          <w:szCs w:val="22"/>
        </w:rPr>
        <w:t xml:space="preserve"> zarówno z finansowego, jak i artystycznego punktu widzenia. </w:t>
      </w:r>
    </w:p>
    <w:p w14:paraId="75B09A85" w14:textId="35593050" w:rsidR="00117C70" w:rsidRPr="00117C70" w:rsidRDefault="00117C70" w:rsidP="00117C70">
      <w:pPr>
        <w:spacing w:before="120"/>
        <w:ind w:firstLine="708"/>
        <w:rPr>
          <w:rFonts w:cs="Arial"/>
          <w:sz w:val="22"/>
          <w:szCs w:val="22"/>
        </w:rPr>
      </w:pPr>
      <w:r w:rsidRPr="00117C70">
        <w:rPr>
          <w:rFonts w:cs="Arial"/>
          <w:b/>
          <w:sz w:val="22"/>
          <w:szCs w:val="22"/>
        </w:rPr>
        <w:t xml:space="preserve">Ad 3. </w:t>
      </w:r>
      <w:r w:rsidRPr="00117C70">
        <w:rPr>
          <w:rFonts w:cs="Arial"/>
          <w:sz w:val="22"/>
          <w:szCs w:val="22"/>
        </w:rPr>
        <w:t xml:space="preserve">W razie ewentualnego czasowego zapotrzebowania, WOK ma zamiar angażowania śpiewaków – solistów i dyrygentów spoza Warszawskiej Opery Kameralnej </w:t>
      </w:r>
      <w:r w:rsidRPr="00117C70">
        <w:rPr>
          <w:rFonts w:cs="Arial"/>
          <w:bCs/>
          <w:sz w:val="22"/>
          <w:szCs w:val="22"/>
        </w:rPr>
        <w:t>jedynie w oparciu o odrębne kontrakty, a więc na zasadzie doraźnej współpracy (impresaryjnej), a nie ich stałego zatrudnienia</w:t>
      </w:r>
      <w:r w:rsidRPr="00117C70">
        <w:rPr>
          <w:rFonts w:cs="Arial"/>
          <w:sz w:val="22"/>
          <w:szCs w:val="22"/>
        </w:rPr>
        <w:t xml:space="preserve">. Formuła wykorzystania rozwiązań tzw. angażowania impresaryjnego w przypadku  każdej sceny (teatralnej, filharmonicznej, </w:t>
      </w:r>
      <w:r w:rsidRPr="00117C70">
        <w:rPr>
          <w:rFonts w:cs="Arial"/>
          <w:sz w:val="22"/>
          <w:szCs w:val="22"/>
        </w:rPr>
        <w:lastRenderedPageBreak/>
        <w:t>operowej) z natury generuje oszczędności, bowiem eliminuje wypłacanie ś</w:t>
      </w:r>
      <w:r w:rsidRPr="00117C70">
        <w:rPr>
          <w:rFonts w:cs="Arial"/>
          <w:sz w:val="22"/>
          <w:szCs w:val="22"/>
        </w:rPr>
        <w:t xml:space="preserve">wiadczeń obłożonych pochodnymi </w:t>
      </w:r>
      <w:r w:rsidRPr="00117C70">
        <w:rPr>
          <w:rFonts w:cs="Arial"/>
          <w:sz w:val="22"/>
          <w:szCs w:val="22"/>
        </w:rPr>
        <w:t>od wynagrodzeń przez cały rok, bądź przez okres zatrudnienia</w:t>
      </w:r>
      <w:r w:rsidRPr="00117C70">
        <w:rPr>
          <w:rFonts w:cs="Arial"/>
          <w:b/>
          <w:sz w:val="22"/>
          <w:szCs w:val="22"/>
        </w:rPr>
        <w:t xml:space="preserve">, </w:t>
      </w:r>
      <w:r w:rsidRPr="00117C70">
        <w:rPr>
          <w:rFonts w:cs="Arial"/>
          <w:sz w:val="22"/>
          <w:szCs w:val="22"/>
        </w:rPr>
        <w:t>to zaś wpływa w sposób oczywisty na obniżenia kosztów funkcjonowania instytucji,  daje to także większą możliwość tworzenia atrakcyjnych dla melomanów obsad spektakli i koncertów. Najlepszym dowodem jest to, że artyści zatrudnieni w Warszawskiej Operze Kameralnej równolegle właśnie na zasadach impresaryjnych świadczyli pra</w:t>
      </w:r>
      <w:r w:rsidRPr="00117C70">
        <w:rPr>
          <w:rFonts w:cs="Arial"/>
          <w:sz w:val="22"/>
          <w:szCs w:val="22"/>
        </w:rPr>
        <w:t xml:space="preserve">ce (umowy o dzieło, kontrakty) </w:t>
      </w:r>
      <w:r w:rsidRPr="00117C70">
        <w:rPr>
          <w:rFonts w:cs="Arial"/>
          <w:sz w:val="22"/>
          <w:szCs w:val="22"/>
        </w:rPr>
        <w:t>w innych instytucjach. Na marginesie należy zauważyć, że często robili to kosztem swojej pracy w macierzystej instytucji (byli niedostępni w określonych terminach dla Opery) co należy wsk</w:t>
      </w:r>
      <w:r w:rsidRPr="00117C70">
        <w:rPr>
          <w:rFonts w:cs="Arial"/>
          <w:sz w:val="22"/>
          <w:szCs w:val="22"/>
        </w:rPr>
        <w:t xml:space="preserve">azać za naganną normę </w:t>
      </w:r>
      <w:r w:rsidRPr="00117C70">
        <w:rPr>
          <w:rFonts w:cs="Arial"/>
          <w:sz w:val="22"/>
          <w:szCs w:val="22"/>
        </w:rPr>
        <w:t xml:space="preserve">w dotychczasowej historii WOK. </w:t>
      </w:r>
      <w:r w:rsidRPr="00117C70">
        <w:rPr>
          <w:rFonts w:cs="Arial"/>
          <w:bCs/>
          <w:sz w:val="22"/>
          <w:szCs w:val="22"/>
        </w:rPr>
        <w:t>Z</w:t>
      </w:r>
      <w:r w:rsidRPr="00117C70">
        <w:rPr>
          <w:rFonts w:cs="Arial"/>
          <w:sz w:val="22"/>
          <w:szCs w:val="22"/>
        </w:rPr>
        <w:t>jawisko przenoszenia na dotowane instytucje</w:t>
      </w:r>
      <w:r w:rsidRPr="00117C70">
        <w:rPr>
          <w:rFonts w:cs="Arial"/>
          <w:sz w:val="22"/>
          <w:szCs w:val="22"/>
        </w:rPr>
        <w:t xml:space="preserve"> kultury, ciężaru zatrudnienia </w:t>
      </w:r>
      <w:r w:rsidRPr="00117C70">
        <w:rPr>
          <w:rFonts w:cs="Arial"/>
          <w:sz w:val="22"/>
          <w:szCs w:val="22"/>
        </w:rPr>
        <w:t>w oparciu o umowę o pracę szerokiej rzeszy artystów wykonujących pracę także na wolnym rynku ustawodawca zauważył zresztą już w 2011 r. Już wówczas zwracano uwagę na uprzywilejowanie grup artystów, którzy przerzucają całość kosztów na mecenat publiczny, natomiast swoje główne dochody czerpią na wolnym rynku, co stawia ich w korzystnej sytuacji wobec innych grup zawodowych, niezatrudnionych na etacie.</w:t>
      </w:r>
    </w:p>
    <w:p w14:paraId="1324DC8D" w14:textId="77777777" w:rsidR="00117C70" w:rsidRPr="00117C70" w:rsidRDefault="00117C70" w:rsidP="00117C70">
      <w:pPr>
        <w:spacing w:before="120"/>
        <w:ind w:firstLine="708"/>
        <w:rPr>
          <w:rFonts w:cs="Arial"/>
          <w:sz w:val="22"/>
          <w:szCs w:val="22"/>
        </w:rPr>
      </w:pPr>
      <w:r w:rsidRPr="00117C70">
        <w:rPr>
          <w:rFonts w:cs="Arial"/>
          <w:b/>
          <w:sz w:val="22"/>
          <w:szCs w:val="22"/>
        </w:rPr>
        <w:t>Ad 4.</w:t>
      </w:r>
      <w:r w:rsidRPr="00117C70">
        <w:rPr>
          <w:rFonts w:cs="Arial"/>
          <w:sz w:val="22"/>
          <w:szCs w:val="22"/>
        </w:rPr>
        <w:t xml:space="preserve"> Dyrektor</w:t>
      </w:r>
      <w:r w:rsidRPr="00117C70">
        <w:rPr>
          <w:rFonts w:cs="Arial"/>
          <w:b/>
          <w:sz w:val="22"/>
          <w:szCs w:val="22"/>
        </w:rPr>
        <w:t xml:space="preserve"> </w:t>
      </w:r>
      <w:r w:rsidRPr="00117C70">
        <w:rPr>
          <w:rFonts w:cs="Arial"/>
          <w:sz w:val="22"/>
          <w:szCs w:val="22"/>
        </w:rPr>
        <w:t xml:space="preserve">Warszawskiej Opery Kameralnej musi działać w sposób mieszczący się pod względem finansowym w obrębie przyznanej dotacji oraz środków pozyskanych z innych instytucji w formie dochodów własnych, darowizn, dotacji i sponsoringu,  w oparciu o plan finansowy, którego z przyczyn obiektywnych </w:t>
      </w:r>
      <w:r w:rsidRPr="00117C70">
        <w:rPr>
          <w:rFonts w:cs="Arial"/>
          <w:sz w:val="22"/>
          <w:szCs w:val="22"/>
        </w:rPr>
        <w:br/>
        <w:t>nie może przekraczać</w:t>
      </w:r>
    </w:p>
    <w:p w14:paraId="082DC6FF" w14:textId="77777777" w:rsidR="00117C70" w:rsidRPr="00117C70" w:rsidRDefault="00117C70" w:rsidP="00117C70">
      <w:pPr>
        <w:spacing w:before="120"/>
        <w:ind w:firstLine="708"/>
        <w:rPr>
          <w:rFonts w:cs="Arial"/>
          <w:sz w:val="22"/>
          <w:szCs w:val="22"/>
        </w:rPr>
      </w:pPr>
      <w:r w:rsidRPr="00117C70">
        <w:rPr>
          <w:rFonts w:cs="Arial"/>
          <w:b/>
          <w:sz w:val="22"/>
          <w:szCs w:val="22"/>
        </w:rPr>
        <w:t>Ad 5.</w:t>
      </w:r>
      <w:r w:rsidRPr="00117C70">
        <w:rPr>
          <w:rFonts w:cs="Arial"/>
          <w:sz w:val="22"/>
          <w:szCs w:val="22"/>
        </w:rPr>
        <w:t xml:space="preserve"> W WOK nie było żadnych uzgodnień, czy też ustaleń związanych z wielkością zatrudnienia. Ruchy kadrowe w Warszawskiej Opery Kameralnej idą w parze z oczekiwaniami organizatora, zmierzają </w:t>
      </w:r>
      <w:r w:rsidRPr="00117C70">
        <w:rPr>
          <w:rFonts w:cs="Arial"/>
          <w:sz w:val="22"/>
          <w:szCs w:val="22"/>
        </w:rPr>
        <w:br/>
        <w:t>do racjonalizacji wydatków, w tym redukcji przerostu kadrowego w tej instytucji, w żadnym wypadku nie staną się powodem obniżenia poziomu artystycznego Opery.</w:t>
      </w:r>
    </w:p>
    <w:p w14:paraId="5F37D9D6" w14:textId="2BC3BC5F" w:rsidR="00117C70" w:rsidRPr="00117C70" w:rsidRDefault="00117C70" w:rsidP="00117C70">
      <w:pPr>
        <w:spacing w:before="120"/>
        <w:ind w:firstLine="708"/>
        <w:rPr>
          <w:rFonts w:cs="Arial"/>
          <w:sz w:val="22"/>
          <w:szCs w:val="22"/>
        </w:rPr>
      </w:pPr>
      <w:r w:rsidRPr="00117C70">
        <w:rPr>
          <w:rFonts w:cs="Arial"/>
          <w:b/>
          <w:sz w:val="22"/>
          <w:szCs w:val="22"/>
        </w:rPr>
        <w:t xml:space="preserve">Ad 6. </w:t>
      </w:r>
      <w:r w:rsidRPr="00117C70">
        <w:rPr>
          <w:rFonts w:cs="Arial"/>
          <w:sz w:val="22"/>
          <w:szCs w:val="22"/>
        </w:rPr>
        <w:t>Doraźne zatrudnianie artystów w tym szczególności solistów i dyrygentów na potrzeby poszczególnych wykonań dzieł artystycznych (opery, koncerty) jest normą na całym świecie. To jedyna możliwość podnoszenia poziomu i atrakcyjności na konkurencyjnym rynku sztuki. Na dyrektorze instytucji oraz reżyserze/dyrygencie spoczywa odpowiedzialność za jakość (p</w:t>
      </w:r>
      <w:r w:rsidRPr="00117C70">
        <w:rPr>
          <w:rFonts w:cs="Arial"/>
          <w:sz w:val="22"/>
          <w:szCs w:val="22"/>
        </w:rPr>
        <w:t xml:space="preserve">oziom artystyczny) co sprawia, </w:t>
      </w:r>
      <w:r w:rsidRPr="00117C70">
        <w:rPr>
          <w:rFonts w:cs="Arial"/>
          <w:sz w:val="22"/>
          <w:szCs w:val="22"/>
        </w:rPr>
        <w:t>że do konkretnych przedsięwzięć angażują wyłącznie osoby (artystów i realizatorów) dających rękojmię właściwego wykonania dzieła. Działanie aktualnej Dyrekcji Opery jest właściwym zarządzaniem instytucją kultury w celu podnoszenia jakości jej poziomu artystyczne</w:t>
      </w:r>
      <w:r w:rsidRPr="00117C70">
        <w:rPr>
          <w:rFonts w:cs="Arial"/>
          <w:sz w:val="22"/>
          <w:szCs w:val="22"/>
        </w:rPr>
        <w:t xml:space="preserve">go. Warszawska Opera Kameralna </w:t>
      </w:r>
      <w:r w:rsidRPr="00117C70">
        <w:rPr>
          <w:rFonts w:cs="Arial"/>
          <w:sz w:val="22"/>
          <w:szCs w:val="22"/>
        </w:rPr>
        <w:t>ze swej natury zatrudnia wyłącznie artystów zaznajomionych ze specyfiką opery. Trudno sobie wyobrazić inna sytuację. Impresaryjny sposób wykorzystania śpiewaków i dyryg</w:t>
      </w:r>
      <w:r w:rsidRPr="00117C70">
        <w:rPr>
          <w:rFonts w:cs="Arial"/>
          <w:sz w:val="22"/>
          <w:szCs w:val="22"/>
        </w:rPr>
        <w:t xml:space="preserve">entów wyzwoli lepszą motywację </w:t>
      </w:r>
      <w:r w:rsidRPr="00117C70">
        <w:rPr>
          <w:rFonts w:cs="Arial"/>
          <w:sz w:val="22"/>
          <w:szCs w:val="22"/>
        </w:rPr>
        <w:t>do uzyskiwania jeszcze wyższego poziomu artystycznego.</w:t>
      </w:r>
    </w:p>
    <w:p w14:paraId="0A312822" w14:textId="24E7221B" w:rsidR="00117C70" w:rsidRPr="00117C70" w:rsidRDefault="00117C70" w:rsidP="00117C70">
      <w:pPr>
        <w:spacing w:before="120"/>
        <w:ind w:firstLine="708"/>
        <w:rPr>
          <w:rFonts w:cs="Arial"/>
          <w:sz w:val="22"/>
          <w:szCs w:val="22"/>
        </w:rPr>
      </w:pPr>
      <w:r w:rsidRPr="00117C70">
        <w:rPr>
          <w:rFonts w:cs="Arial"/>
          <w:b/>
          <w:sz w:val="22"/>
          <w:szCs w:val="22"/>
        </w:rPr>
        <w:t xml:space="preserve">Ad 7. </w:t>
      </w:r>
      <w:r w:rsidRPr="00117C70">
        <w:rPr>
          <w:rFonts w:cs="Arial"/>
          <w:sz w:val="22"/>
          <w:szCs w:val="22"/>
        </w:rPr>
        <w:t>Decyzja WOK o ukierunkowaniu realizowanego dot</w:t>
      </w:r>
      <w:r>
        <w:rPr>
          <w:rFonts w:cs="Arial"/>
          <w:sz w:val="22"/>
          <w:szCs w:val="22"/>
        </w:rPr>
        <w:t xml:space="preserve">ychczas programu artystycznego </w:t>
      </w:r>
      <w:r w:rsidRPr="00117C70">
        <w:rPr>
          <w:rFonts w:cs="Arial"/>
          <w:sz w:val="22"/>
          <w:szCs w:val="22"/>
        </w:rPr>
        <w:t>do repertuaru barokowo – klasycznego, przede wszystkim w oparciu o orkiestrę grającą na instrumentach dawnych  (MACV),  a  także  Zespół  Wokalny,  jest  racjonalna  i  gruntownie  przemyślana  (nie wyklucza to  wystawienia dzieł z okresu średniowiecza i współczesności). Zasa</w:t>
      </w:r>
      <w:r w:rsidRPr="00117C70">
        <w:rPr>
          <w:rFonts w:cs="Arial"/>
          <w:sz w:val="22"/>
          <w:szCs w:val="22"/>
        </w:rPr>
        <w:t xml:space="preserve">dność tej decyzji potwierdziło </w:t>
      </w:r>
      <w:r w:rsidRPr="00117C70">
        <w:rPr>
          <w:rFonts w:cs="Arial"/>
          <w:sz w:val="22"/>
          <w:szCs w:val="22"/>
        </w:rPr>
        <w:t xml:space="preserve">m.in. przychylne przyjęcie przez publiczność występów artystycznych </w:t>
      </w:r>
      <w:r w:rsidRPr="00117C70">
        <w:rPr>
          <w:rFonts w:cs="Arial"/>
          <w:sz w:val="22"/>
          <w:szCs w:val="22"/>
        </w:rPr>
        <w:t xml:space="preserve">zaprezentowanych przez muzyków </w:t>
      </w:r>
      <w:r w:rsidRPr="00117C70">
        <w:rPr>
          <w:rFonts w:cs="Arial"/>
          <w:sz w:val="22"/>
          <w:szCs w:val="22"/>
        </w:rPr>
        <w:t>w trakcie ww. 27. Festiwalu Mozartowskiego. Wystąpił na nim wyłącznie Zespół Instrumentów Dawnych WOK (bez udziału orkiestry Sinfonietty), wykonując utwory w taki sam sposób, jak w okresie, w którym zostały one skomponowane. WOK upatruje w tym szansę swojego rozwoju, budowy prestiżu i pozycji w świecie. Specyfika dzieł Wolfganga Amadeusza Mozarta predysponuje je do realizacji na zasadach impresaryjnych To umożliwia angażowanie najlepszych śpiewaków, co miało miejsce podczas 27. F</w:t>
      </w:r>
      <w:r w:rsidRPr="00117C70">
        <w:rPr>
          <w:rFonts w:cs="Arial"/>
          <w:sz w:val="22"/>
          <w:szCs w:val="22"/>
        </w:rPr>
        <w:t xml:space="preserve">estiwalu Mozartowskiego, gdzie </w:t>
      </w:r>
      <w:r w:rsidRPr="00117C70">
        <w:rPr>
          <w:rFonts w:cs="Arial"/>
          <w:sz w:val="22"/>
          <w:szCs w:val="22"/>
        </w:rPr>
        <w:t xml:space="preserve">w tytułowej roli Don Giovanni zobaczyliśmy największego polskiego śpiewaka operowego Artura Rucińskiego (który wystąpił tylko raz w Polsce i to właśnie w WOK), dobieranie reżyserów i realizatorów pod kątem konkretnych dzieł. Oczywistym jest, że ruchy kadrowe w obrębie Warszawskiej Opery Kameralnej w żaden sposób nie rzutują na jej zdolność do wystawiania dzieł Mozarta. A wręcz odwrotnie - ostatni XXVII Festiwal </w:t>
      </w:r>
      <w:r w:rsidRPr="00117C70">
        <w:rPr>
          <w:rFonts w:cs="Arial"/>
          <w:sz w:val="22"/>
          <w:szCs w:val="22"/>
        </w:rPr>
        <w:lastRenderedPageBreak/>
        <w:t>Mozartowski wskazał, że rozwiązanie o którym mowa wyżej jest ze wszelkich miar uzasadnione. Nadmienić jednak także należy, że Warszawska Opera Kameralna nie ogranicza się jedynie do muzyki Wolfganga Amadeusza Mozarta,  twórczość tego kompozytora była, jest i nadal będzie tylko jedną z przestrzeni jej artystycznej aktywności, ta zaś będzie sukcesywnie poszerzana w szczególności o aktywność w sferze edukacji i działań innowacyjnych, ukierunkowanych na pozyskanie nowego, w szczególności młodego widza</w:t>
      </w:r>
    </w:p>
    <w:p w14:paraId="1ADD50D5" w14:textId="7CC6C761" w:rsidR="00117C70" w:rsidRPr="00117C70" w:rsidRDefault="00117C70" w:rsidP="00117C70">
      <w:pPr>
        <w:spacing w:before="120"/>
        <w:ind w:firstLine="708"/>
        <w:rPr>
          <w:rFonts w:cs="Arial"/>
          <w:b/>
          <w:sz w:val="22"/>
          <w:szCs w:val="22"/>
        </w:rPr>
      </w:pPr>
      <w:r w:rsidRPr="00117C70">
        <w:rPr>
          <w:rFonts w:cs="Arial"/>
          <w:b/>
          <w:sz w:val="22"/>
          <w:szCs w:val="22"/>
        </w:rPr>
        <w:t xml:space="preserve">Ad 8. </w:t>
      </w:r>
      <w:r w:rsidRPr="00117C70">
        <w:rPr>
          <w:rFonts w:cs="Arial"/>
          <w:sz w:val="22"/>
          <w:szCs w:val="22"/>
        </w:rPr>
        <w:t xml:space="preserve">Wdrożone zmiany organizacyjne </w:t>
      </w:r>
      <w:r w:rsidRPr="00117C70">
        <w:rPr>
          <w:rFonts w:cs="Arial"/>
          <w:bCs/>
          <w:sz w:val="22"/>
          <w:szCs w:val="22"/>
        </w:rPr>
        <w:t>nie uniemożliwią, ani nie utrudnią w jakimkolwiek stopniu wykonywania przez WOK zadań statutowych</w:t>
      </w:r>
      <w:r w:rsidRPr="00117C70">
        <w:rPr>
          <w:rFonts w:cs="Arial"/>
          <w:sz w:val="22"/>
          <w:szCs w:val="22"/>
        </w:rPr>
        <w:t>. Potwierdza to m.in. bardzo przychylne przyjęcie przez publiczność ponad 50 występów artystycznych zaprezentowanych przez muzyków Zespołu Instrumentów Dawnych (MACV) w trakcie 27. Festiwalu Mozartowskiego (w okresie od 12</w:t>
      </w:r>
      <w:r w:rsidRPr="00117C70">
        <w:rPr>
          <w:rFonts w:cs="Arial"/>
          <w:sz w:val="22"/>
          <w:szCs w:val="22"/>
        </w:rPr>
        <w:t xml:space="preserve"> czerwca do 15 lipca 2017 r.), </w:t>
      </w:r>
      <w:r w:rsidRPr="00117C70">
        <w:rPr>
          <w:rFonts w:cs="Arial"/>
          <w:sz w:val="22"/>
          <w:szCs w:val="22"/>
        </w:rPr>
        <w:t>a także wystawionej przez WOK (zarówno w Polsce, jak i na Festiwalu Armel w Wiedniu w dniu 2 lipca 2017 r.) „Operetki”  kompozytora Michała Dobrzyńskiego czyli dzieła współczesnego. „Operetkę” wystawiono przy zaangażowaniu muzyków do tego konkretnego projektu. Przedstawienia te zostały bardzo dobrze odebrane przez publiczność. Po zaprezentowaniu możliwości muzyków WOK, otrzymaliśmy propozycję koprodukcji od jednego z teatrów uczestniczących w Festiwalu Teatrów Operowych w Wiedniu. Ponadto przykładem różnorodności oferty muzycznej WOK jest także zaplanowany przyszły sezon operowy.</w:t>
      </w:r>
    </w:p>
    <w:p w14:paraId="4282A050" w14:textId="27316665" w:rsidR="004F325C" w:rsidRPr="004F325C" w:rsidRDefault="00117C70" w:rsidP="00021254">
      <w:pPr>
        <w:spacing w:before="120"/>
        <w:rPr>
          <w:sz w:val="22"/>
          <w:szCs w:val="22"/>
        </w:rPr>
      </w:pPr>
      <w:r>
        <w:rPr>
          <w:sz w:val="22"/>
          <w:szCs w:val="22"/>
        </w:rPr>
        <w:t>Marszałek Województwa</w:t>
      </w:r>
      <w:r>
        <w:rPr>
          <w:sz w:val="22"/>
          <w:szCs w:val="22"/>
        </w:rPr>
        <w:br/>
        <w:t>Adam Struzik</w:t>
      </w:r>
      <w:bookmarkStart w:id="0" w:name="_GoBack"/>
      <w:bookmarkEnd w:id="0"/>
    </w:p>
    <w:sectPr w:rsidR="004F325C" w:rsidRPr="004F325C" w:rsidSect="004F325C">
      <w:footerReference w:type="default" r:id="rId12"/>
      <w:pgSz w:w="11906" w:h="16838"/>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282A053" w14:textId="77777777" w:rsidR="004F325C" w:rsidRDefault="004F325C" w:rsidP="004F325C">
      <w:r>
        <w:separator/>
      </w:r>
    </w:p>
  </w:endnote>
  <w:endnote w:type="continuationSeparator" w:id="0">
    <w:p w14:paraId="4282A054" w14:textId="77777777" w:rsidR="004F325C" w:rsidRDefault="004F325C" w:rsidP="004F32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Arial">
    <w:panose1 w:val="020B0604020202020204"/>
    <w:charset w:val="EE"/>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EE"/>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29111400"/>
      <w:docPartObj>
        <w:docPartGallery w:val="Page Numbers (Bottom of Page)"/>
        <w:docPartUnique/>
      </w:docPartObj>
    </w:sdtPr>
    <w:sdtEndPr/>
    <w:sdtContent>
      <w:p w14:paraId="4282A055" w14:textId="77777777" w:rsidR="004F325C" w:rsidRDefault="004F325C">
        <w:pPr>
          <w:pStyle w:val="Stopka"/>
          <w:jc w:val="right"/>
        </w:pPr>
        <w:r>
          <w:fldChar w:fldCharType="begin"/>
        </w:r>
        <w:r>
          <w:instrText>PAGE   \* MERGEFORMAT</w:instrText>
        </w:r>
        <w:r>
          <w:fldChar w:fldCharType="separate"/>
        </w:r>
        <w:r w:rsidR="00117C70">
          <w:rPr>
            <w:noProof/>
          </w:rPr>
          <w:t>3</w:t>
        </w:r>
        <w:r>
          <w:fldChar w:fldCharType="end"/>
        </w:r>
      </w:p>
    </w:sdtContent>
  </w:sdt>
  <w:p w14:paraId="4282A056" w14:textId="77777777" w:rsidR="004F325C" w:rsidRDefault="004F325C">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282A051" w14:textId="77777777" w:rsidR="004F325C" w:rsidRDefault="004F325C" w:rsidP="004F325C">
      <w:r>
        <w:separator/>
      </w:r>
    </w:p>
  </w:footnote>
  <w:footnote w:type="continuationSeparator" w:id="0">
    <w:p w14:paraId="4282A052" w14:textId="77777777" w:rsidR="004F325C" w:rsidRDefault="004F325C" w:rsidP="004F325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344FC9"/>
    <w:multiLevelType w:val="hybridMultilevel"/>
    <w:tmpl w:val="1D1286E4"/>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15:restartNumberingAfterBreak="0">
    <w:nsid w:val="14C75BF2"/>
    <w:multiLevelType w:val="hybridMultilevel"/>
    <w:tmpl w:val="C3B46F2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15:restartNumberingAfterBreak="0">
    <w:nsid w:val="168B009A"/>
    <w:multiLevelType w:val="hybridMultilevel"/>
    <w:tmpl w:val="636CAF9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1C354ADA"/>
    <w:multiLevelType w:val="hybridMultilevel"/>
    <w:tmpl w:val="936ADAFA"/>
    <w:lvl w:ilvl="0" w:tplc="0415000F">
      <w:start w:val="1"/>
      <w:numFmt w:val="decimal"/>
      <w:lvlText w:val="%1."/>
      <w:lvlJc w:val="left"/>
      <w:pPr>
        <w:ind w:left="644" w:hanging="360"/>
      </w:pPr>
    </w:lvl>
    <w:lvl w:ilvl="1" w:tplc="0415000F">
      <w:start w:val="1"/>
      <w:numFmt w:val="decimal"/>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20841101"/>
    <w:multiLevelType w:val="hybridMultilevel"/>
    <w:tmpl w:val="24D2F45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15:restartNumberingAfterBreak="0">
    <w:nsid w:val="26182BD1"/>
    <w:multiLevelType w:val="hybridMultilevel"/>
    <w:tmpl w:val="78B8C3B6"/>
    <w:lvl w:ilvl="0" w:tplc="CF06C240">
      <w:start w:val="4"/>
      <w:numFmt w:val="decimal"/>
      <w:lvlText w:val="%1."/>
      <w:lvlJc w:val="left"/>
      <w:pPr>
        <w:ind w:left="1495" w:hanging="360"/>
      </w:pPr>
      <w:rPr>
        <w:rFonts w:hint="default"/>
      </w:rPr>
    </w:lvl>
    <w:lvl w:ilvl="1" w:tplc="04150019">
      <w:start w:val="1"/>
      <w:numFmt w:val="lowerLetter"/>
      <w:lvlText w:val="%2."/>
      <w:lvlJc w:val="left"/>
      <w:pPr>
        <w:ind w:left="2215" w:hanging="360"/>
      </w:pPr>
    </w:lvl>
    <w:lvl w:ilvl="2" w:tplc="0415001B" w:tentative="1">
      <w:start w:val="1"/>
      <w:numFmt w:val="lowerRoman"/>
      <w:lvlText w:val="%3."/>
      <w:lvlJc w:val="right"/>
      <w:pPr>
        <w:ind w:left="2935" w:hanging="180"/>
      </w:pPr>
    </w:lvl>
    <w:lvl w:ilvl="3" w:tplc="0415000F" w:tentative="1">
      <w:start w:val="1"/>
      <w:numFmt w:val="decimal"/>
      <w:lvlText w:val="%4."/>
      <w:lvlJc w:val="left"/>
      <w:pPr>
        <w:ind w:left="3655" w:hanging="360"/>
      </w:pPr>
    </w:lvl>
    <w:lvl w:ilvl="4" w:tplc="04150019" w:tentative="1">
      <w:start w:val="1"/>
      <w:numFmt w:val="lowerLetter"/>
      <w:lvlText w:val="%5."/>
      <w:lvlJc w:val="left"/>
      <w:pPr>
        <w:ind w:left="4375" w:hanging="360"/>
      </w:pPr>
    </w:lvl>
    <w:lvl w:ilvl="5" w:tplc="0415001B" w:tentative="1">
      <w:start w:val="1"/>
      <w:numFmt w:val="lowerRoman"/>
      <w:lvlText w:val="%6."/>
      <w:lvlJc w:val="right"/>
      <w:pPr>
        <w:ind w:left="5095" w:hanging="180"/>
      </w:pPr>
    </w:lvl>
    <w:lvl w:ilvl="6" w:tplc="0415000F" w:tentative="1">
      <w:start w:val="1"/>
      <w:numFmt w:val="decimal"/>
      <w:lvlText w:val="%7."/>
      <w:lvlJc w:val="left"/>
      <w:pPr>
        <w:ind w:left="5815" w:hanging="360"/>
      </w:pPr>
    </w:lvl>
    <w:lvl w:ilvl="7" w:tplc="04150019" w:tentative="1">
      <w:start w:val="1"/>
      <w:numFmt w:val="lowerLetter"/>
      <w:lvlText w:val="%8."/>
      <w:lvlJc w:val="left"/>
      <w:pPr>
        <w:ind w:left="6535" w:hanging="360"/>
      </w:pPr>
    </w:lvl>
    <w:lvl w:ilvl="8" w:tplc="0415001B" w:tentative="1">
      <w:start w:val="1"/>
      <w:numFmt w:val="lowerRoman"/>
      <w:lvlText w:val="%9."/>
      <w:lvlJc w:val="right"/>
      <w:pPr>
        <w:ind w:left="7255" w:hanging="180"/>
      </w:pPr>
    </w:lvl>
  </w:abstractNum>
  <w:abstractNum w:abstractNumId="6" w15:restartNumberingAfterBreak="0">
    <w:nsid w:val="285D3937"/>
    <w:multiLevelType w:val="hybridMultilevel"/>
    <w:tmpl w:val="1AB4D8E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 w15:restartNumberingAfterBreak="0">
    <w:nsid w:val="291241E3"/>
    <w:multiLevelType w:val="hybridMultilevel"/>
    <w:tmpl w:val="2936607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 w15:restartNumberingAfterBreak="0">
    <w:nsid w:val="2AEB3BCF"/>
    <w:multiLevelType w:val="hybridMultilevel"/>
    <w:tmpl w:val="87E4BB0A"/>
    <w:lvl w:ilvl="0" w:tplc="04150019">
      <w:start w:val="1"/>
      <w:numFmt w:val="lowerLetter"/>
      <w:lvlText w:val="%1."/>
      <w:lvlJc w:val="left"/>
      <w:pPr>
        <w:ind w:left="1068" w:hanging="360"/>
      </w:pPr>
    </w:lvl>
    <w:lvl w:ilvl="1" w:tplc="04150019" w:tentative="1">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9" w15:restartNumberingAfterBreak="0">
    <w:nsid w:val="375628CC"/>
    <w:multiLevelType w:val="hybridMultilevel"/>
    <w:tmpl w:val="AE44D6B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3B4A3ECD"/>
    <w:multiLevelType w:val="hybridMultilevel"/>
    <w:tmpl w:val="0E8EA55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 w15:restartNumberingAfterBreak="0">
    <w:nsid w:val="3B4E5F6F"/>
    <w:multiLevelType w:val="hybridMultilevel"/>
    <w:tmpl w:val="E2FC9EC2"/>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 w15:restartNumberingAfterBreak="0">
    <w:nsid w:val="4C103F0F"/>
    <w:multiLevelType w:val="hybridMultilevel"/>
    <w:tmpl w:val="CC16F2A0"/>
    <w:lvl w:ilvl="0" w:tplc="2EFC02AC">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4D447B9E"/>
    <w:multiLevelType w:val="hybridMultilevel"/>
    <w:tmpl w:val="76620868"/>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4F3C7305"/>
    <w:multiLevelType w:val="hybridMultilevel"/>
    <w:tmpl w:val="2CFADDFE"/>
    <w:lvl w:ilvl="0" w:tplc="F5DC95B8">
      <w:start w:val="1"/>
      <w:numFmt w:val="decimal"/>
      <w:lvlText w:val="%1)"/>
      <w:lvlJc w:val="left"/>
      <w:pPr>
        <w:ind w:left="1068" w:hanging="360"/>
      </w:pPr>
      <w:rPr>
        <w:rFonts w:hint="default"/>
      </w:rPr>
    </w:lvl>
    <w:lvl w:ilvl="1" w:tplc="04150019" w:tentative="1">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15" w15:restartNumberingAfterBreak="0">
    <w:nsid w:val="54D06550"/>
    <w:multiLevelType w:val="hybridMultilevel"/>
    <w:tmpl w:val="33C8D77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6" w15:restartNumberingAfterBreak="0">
    <w:nsid w:val="5A5C52D9"/>
    <w:multiLevelType w:val="hybridMultilevel"/>
    <w:tmpl w:val="2E7A87E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7" w15:restartNumberingAfterBreak="0">
    <w:nsid w:val="5C5D33EC"/>
    <w:multiLevelType w:val="hybridMultilevel"/>
    <w:tmpl w:val="386A9E34"/>
    <w:lvl w:ilvl="0" w:tplc="04150011">
      <w:start w:val="1"/>
      <w:numFmt w:val="decimal"/>
      <w:lvlText w:val="%1)"/>
      <w:lvlJc w:val="left"/>
      <w:pPr>
        <w:ind w:left="1068" w:hanging="360"/>
      </w:pPr>
      <w:rPr>
        <w:rFonts w:hint="default"/>
      </w:rPr>
    </w:lvl>
    <w:lvl w:ilvl="1" w:tplc="04150019" w:tentative="1">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18" w15:restartNumberingAfterBreak="0">
    <w:nsid w:val="5C946416"/>
    <w:multiLevelType w:val="hybridMultilevel"/>
    <w:tmpl w:val="FB1032A4"/>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9" w15:restartNumberingAfterBreak="0">
    <w:nsid w:val="629822F0"/>
    <w:multiLevelType w:val="hybridMultilevel"/>
    <w:tmpl w:val="0D8896D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0" w15:restartNumberingAfterBreak="0">
    <w:nsid w:val="7B971AB2"/>
    <w:multiLevelType w:val="hybridMultilevel"/>
    <w:tmpl w:val="918294C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abstractNumId w:val="3"/>
  </w:num>
  <w:num w:numId="2">
    <w:abstractNumId w:val="5"/>
  </w:num>
  <w:num w:numId="3">
    <w:abstractNumId w:val="14"/>
  </w:num>
  <w:num w:numId="4">
    <w:abstractNumId w:val="12"/>
  </w:num>
  <w:num w:numId="5">
    <w:abstractNumId w:val="2"/>
  </w:num>
  <w:num w:numId="6">
    <w:abstractNumId w:val="19"/>
  </w:num>
  <w:num w:numId="7">
    <w:abstractNumId w:val="9"/>
  </w:num>
  <w:num w:numId="8">
    <w:abstractNumId w:val="17"/>
  </w:num>
  <w:num w:numId="9">
    <w:abstractNumId w:val="16"/>
  </w:num>
  <w:num w:numId="10">
    <w:abstractNumId w:val="8"/>
  </w:num>
  <w:num w:numId="11">
    <w:abstractNumId w:val="20"/>
  </w:num>
  <w:num w:numId="12">
    <w:abstractNumId w:val="7"/>
  </w:num>
  <w:num w:numId="13">
    <w:abstractNumId w:val="10"/>
  </w:num>
  <w:num w:numId="14">
    <w:abstractNumId w:val="1"/>
  </w:num>
  <w:num w:numId="15">
    <w:abstractNumId w:val="15"/>
  </w:num>
  <w:num w:numId="16">
    <w:abstractNumId w:val="13"/>
  </w:num>
  <w:num w:numId="17">
    <w:abstractNumId w:val="6"/>
  </w:num>
  <w:num w:numId="18">
    <w:abstractNumId w:val="11"/>
  </w:num>
  <w:num w:numId="19">
    <w:abstractNumId w:val="18"/>
  </w:num>
  <w:num w:numId="20">
    <w:abstractNumId w:val="0"/>
  </w:num>
  <w:num w:numId="2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C0390"/>
    <w:rsid w:val="00021254"/>
    <w:rsid w:val="0004125B"/>
    <w:rsid w:val="000C0390"/>
    <w:rsid w:val="00117C70"/>
    <w:rsid w:val="00184FA3"/>
    <w:rsid w:val="00201EDD"/>
    <w:rsid w:val="003863FF"/>
    <w:rsid w:val="004657BD"/>
    <w:rsid w:val="004F325C"/>
    <w:rsid w:val="00552AF1"/>
    <w:rsid w:val="00636320"/>
    <w:rsid w:val="007022E4"/>
    <w:rsid w:val="00892D39"/>
    <w:rsid w:val="009E30B9"/>
    <w:rsid w:val="00A852A8"/>
    <w:rsid w:val="00A91759"/>
    <w:rsid w:val="00CD7BF1"/>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4:docId w14:val="4282A04E"/>
  <w15:chartTrackingRefBased/>
  <w15:docId w15:val="{DC6C7128-6896-4AD5-8927-22D8F27C8C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imes New Roman"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4F325C"/>
    <w:pPr>
      <w:spacing w:after="0" w:line="240" w:lineRule="auto"/>
    </w:pPr>
    <w:rPr>
      <w:rFonts w:ascii="Arial" w:hAnsi="Arial" w:cs="Times New Roman"/>
      <w:sz w:val="18"/>
      <w:szCs w:val="20"/>
      <w:lang w:eastAsia="pl-PL"/>
    </w:rPr>
  </w:style>
  <w:style w:type="paragraph" w:styleId="Nagwek1">
    <w:name w:val="heading 1"/>
    <w:basedOn w:val="Normalny"/>
    <w:next w:val="Normalny"/>
    <w:link w:val="Nagwek1Znak"/>
    <w:autoRedefine/>
    <w:uiPriority w:val="9"/>
    <w:qFormat/>
    <w:rsid w:val="00552AF1"/>
    <w:pPr>
      <w:keepNext/>
      <w:keepLines/>
      <w:outlineLvl w:val="0"/>
    </w:pPr>
    <w:rPr>
      <w:rFonts w:eastAsiaTheme="majorEastAsia" w:cstheme="majorBidi"/>
      <w:b/>
      <w:szCs w:val="32"/>
    </w:rPr>
  </w:style>
  <w:style w:type="paragraph" w:styleId="Nagwek2">
    <w:name w:val="heading 2"/>
    <w:basedOn w:val="Normalny"/>
    <w:next w:val="Normalny"/>
    <w:link w:val="Nagwek2Znak"/>
    <w:autoRedefine/>
    <w:uiPriority w:val="9"/>
    <w:semiHidden/>
    <w:unhideWhenUsed/>
    <w:qFormat/>
    <w:rsid w:val="004657BD"/>
    <w:pPr>
      <w:keepNext/>
      <w:keepLines/>
      <w:outlineLvl w:val="1"/>
    </w:pPr>
    <w:rPr>
      <w:rFonts w:eastAsiaTheme="majorEastAsia" w:cstheme="majorBidi"/>
      <w:b/>
      <w:szCs w:val="2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552AF1"/>
    <w:rPr>
      <w:rFonts w:ascii="Arial" w:eastAsiaTheme="majorEastAsia" w:hAnsi="Arial" w:cstheme="majorBidi"/>
      <w:b/>
      <w:sz w:val="24"/>
      <w:szCs w:val="32"/>
      <w:lang w:val="de-DE" w:eastAsia="pl-PL"/>
    </w:rPr>
  </w:style>
  <w:style w:type="character" w:customStyle="1" w:styleId="Nagwek2Znak">
    <w:name w:val="Nagłówek 2 Znak"/>
    <w:basedOn w:val="Domylnaczcionkaakapitu"/>
    <w:link w:val="Nagwek2"/>
    <w:uiPriority w:val="9"/>
    <w:semiHidden/>
    <w:rsid w:val="004657BD"/>
    <w:rPr>
      <w:rFonts w:ascii="Arial" w:eastAsiaTheme="majorEastAsia" w:hAnsi="Arial" w:cstheme="majorBidi"/>
      <w:b/>
      <w:sz w:val="24"/>
      <w:szCs w:val="26"/>
    </w:rPr>
  </w:style>
  <w:style w:type="paragraph" w:styleId="Nagwek">
    <w:name w:val="header"/>
    <w:basedOn w:val="Normalny"/>
    <w:link w:val="NagwekZnak"/>
    <w:uiPriority w:val="99"/>
    <w:unhideWhenUsed/>
    <w:rsid w:val="004F325C"/>
    <w:pPr>
      <w:tabs>
        <w:tab w:val="center" w:pos="4536"/>
        <w:tab w:val="right" w:pos="9072"/>
      </w:tabs>
    </w:pPr>
  </w:style>
  <w:style w:type="character" w:customStyle="1" w:styleId="NagwekZnak">
    <w:name w:val="Nagłówek Znak"/>
    <w:basedOn w:val="Domylnaczcionkaakapitu"/>
    <w:link w:val="Nagwek"/>
    <w:uiPriority w:val="99"/>
    <w:rsid w:val="004F325C"/>
    <w:rPr>
      <w:rFonts w:ascii="Arial" w:hAnsi="Arial" w:cs="Times New Roman"/>
      <w:sz w:val="18"/>
      <w:szCs w:val="20"/>
      <w:lang w:eastAsia="pl-PL"/>
    </w:rPr>
  </w:style>
  <w:style w:type="paragraph" w:styleId="Stopka">
    <w:name w:val="footer"/>
    <w:basedOn w:val="Normalny"/>
    <w:link w:val="StopkaZnak"/>
    <w:uiPriority w:val="99"/>
    <w:unhideWhenUsed/>
    <w:rsid w:val="004F325C"/>
    <w:pPr>
      <w:tabs>
        <w:tab w:val="center" w:pos="4536"/>
        <w:tab w:val="right" w:pos="9072"/>
      </w:tabs>
    </w:pPr>
  </w:style>
  <w:style w:type="character" w:customStyle="1" w:styleId="StopkaZnak">
    <w:name w:val="Stopka Znak"/>
    <w:basedOn w:val="Domylnaczcionkaakapitu"/>
    <w:link w:val="Stopka"/>
    <w:uiPriority w:val="99"/>
    <w:rsid w:val="004F325C"/>
    <w:rPr>
      <w:rFonts w:ascii="Arial" w:hAnsi="Arial" w:cs="Times New Roman"/>
      <w:sz w:val="18"/>
      <w:szCs w:val="20"/>
      <w:lang w:eastAsia="pl-PL"/>
    </w:rPr>
  </w:style>
  <w:style w:type="paragraph" w:styleId="Akapitzlist">
    <w:name w:val="List Paragraph"/>
    <w:basedOn w:val="Normalny"/>
    <w:uiPriority w:val="34"/>
    <w:qFormat/>
    <w:rsid w:val="004F325C"/>
    <w:pPr>
      <w:ind w:left="720"/>
      <w:contextualSpacing/>
    </w:pPr>
  </w:style>
  <w:style w:type="character" w:styleId="Hipercze">
    <w:name w:val="Hyperlink"/>
    <w:uiPriority w:val="99"/>
    <w:unhideWhenUsed/>
    <w:rsid w:val="00021254"/>
    <w:rPr>
      <w:color w:val="0000FF"/>
      <w:u w:val="single"/>
    </w:rPr>
  </w:style>
  <w:style w:type="paragraph" w:customStyle="1" w:styleId="Tekstpodstawowy31">
    <w:name w:val="Tekst podstawowy 31"/>
    <w:basedOn w:val="Normalny"/>
    <w:uiPriority w:val="99"/>
    <w:rsid w:val="00021254"/>
    <w:pPr>
      <w:overflowPunct w:val="0"/>
      <w:autoSpaceDE w:val="0"/>
      <w:autoSpaceDN w:val="0"/>
      <w:adjustRightInd w:val="0"/>
      <w:jc w:val="both"/>
      <w:textAlignment w:val="baseline"/>
    </w:pPr>
    <w:rPr>
      <w:rFonts w:ascii="Times New Roman" w:hAnsi="Times New Roman"/>
      <w:sz w:val="20"/>
    </w:rPr>
  </w:style>
  <w:style w:type="character" w:styleId="UyteHipercze">
    <w:name w:val="FollowedHyperlink"/>
    <w:basedOn w:val="Domylnaczcionkaakapitu"/>
    <w:uiPriority w:val="99"/>
    <w:semiHidden/>
    <w:unhideWhenUsed/>
    <w:rsid w:val="00021254"/>
    <w:rPr>
      <w:color w:val="954F72" w:themeColor="followedHyperlink"/>
      <w:u w:val="single"/>
    </w:rPr>
  </w:style>
  <w:style w:type="character" w:styleId="Uwydatnienie">
    <w:name w:val="Emphasis"/>
    <w:basedOn w:val="Domylnaczcionkaakapitu"/>
    <w:uiPriority w:val="20"/>
    <w:qFormat/>
    <w:rsid w:val="00117C70"/>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08476126">
      <w:bodyDiv w:val="1"/>
      <w:marLeft w:val="0"/>
      <w:marRight w:val="0"/>
      <w:marTop w:val="0"/>
      <w:marBottom w:val="0"/>
      <w:divBdr>
        <w:top w:val="none" w:sz="0" w:space="0" w:color="auto"/>
        <w:left w:val="none" w:sz="0" w:space="0" w:color="auto"/>
        <w:bottom w:val="none" w:sz="0" w:space="0" w:color="auto"/>
        <w:right w:val="none" w:sz="0" w:space="0" w:color="auto"/>
      </w:divBdr>
    </w:div>
    <w:div w:id="14772621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_dlc_DocId xmlns="dab3d391-2e23-4d2c-84db-bed80872f5e5">647VF25CS3XU-1675843048-14254</_dlc_DocId>
    <_dlc_DocIdUrl xmlns="dab3d391-2e23-4d2c-84db-bed80872f5e5">
      <Url>http://portal/departament/ks/bss/_layouts/15/DocIdRedir.aspx?ID=647VF25CS3XU-1675843048-14254</Url>
      <Description>647VF25CS3XU-1675843048-14254</Description>
    </_dlc_DocIdUrl>
  </documentManagement>
</p:properties>
</file>

<file path=customXml/item2.xml><?xml version="1.0" encoding="utf-8"?>
<ct:contentTypeSchema xmlns:ct="http://schemas.microsoft.com/office/2006/metadata/contentType" xmlns:ma="http://schemas.microsoft.com/office/2006/metadata/properties/metaAttributes" ct:_="" ma:_="" ma:contentTypeName="Dokument" ma:contentTypeID="0x010100C8768BD8BD329C40A7B041F6F07FAB1A" ma:contentTypeVersion="2" ma:contentTypeDescription="Utwórz nowy dokument." ma:contentTypeScope="" ma:versionID="650a146e1a6e670110f0cdbd93ae4492">
  <xsd:schema xmlns:xsd="http://www.w3.org/2001/XMLSchema" xmlns:xs="http://www.w3.org/2001/XMLSchema" xmlns:p="http://schemas.microsoft.com/office/2006/metadata/properties" xmlns:ns2="dab3d391-2e23-4d2c-84db-bed80872f5e5" xmlns:ns3="68ae0fbe-d48c-45f8-98d1-0d887aeb7b33" targetNamespace="http://schemas.microsoft.com/office/2006/metadata/properties" ma:root="true" ma:fieldsID="b2a70b574cf0bfd337efa4b450d9787e" ns2:_="" ns3:_="">
    <xsd:import namespace="dab3d391-2e23-4d2c-84db-bed80872f5e5"/>
    <xsd:import namespace="68ae0fbe-d48c-45f8-98d1-0d887aeb7b33"/>
    <xsd:element name="properties">
      <xsd:complexType>
        <xsd:sequence>
          <xsd:element name="documentManagement">
            <xsd:complexType>
              <xsd:all>
                <xsd:element ref="ns2:_dlc_DocId" minOccurs="0"/>
                <xsd:element ref="ns2:_dlc_DocIdUrl" minOccurs="0"/>
                <xsd:element ref="ns2:_dlc_DocIdPersistId" minOccurs="0"/>
                <xsd:element ref="ns3:SharedWithUs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ab3d391-2e23-4d2c-84db-bed80872f5e5" elementFormDefault="qualified">
    <xsd:import namespace="http://schemas.microsoft.com/office/2006/documentManagement/types"/>
    <xsd:import namespace="http://schemas.microsoft.com/office/infopath/2007/PartnerControls"/>
    <xsd:element name="_dlc_DocId" ma:index="8" nillable="true" ma:displayName="Wartość identyfikatora dokumentu" ma:description="Wartość identyfikatora dokumentu przypisanego do tego elementu." ma:internalName="_dlc_DocId" ma:readOnly="true">
      <xsd:simpleType>
        <xsd:restriction base="dms:Text"/>
      </xsd:simpleType>
    </xsd:element>
    <xsd:element name="_dlc_DocIdUrl" ma:index="9" nillable="true" ma:displayName="Identyfikator dokumentu" ma:description="Łącze stałe do tego dokumentu."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68ae0fbe-d48c-45f8-98d1-0d887aeb7b33" elementFormDefault="qualified">
    <xsd:import namespace="http://schemas.microsoft.com/office/2006/documentManagement/types"/>
    <xsd:import namespace="http://schemas.microsoft.com/office/infopath/2007/PartnerControls"/>
    <xsd:element name="SharedWithUsers" ma:index="11" nillable="true" ma:displayName="Udostępnianie"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8A409DF-5843-4CF8-8570-B48EE3A8CF38}">
  <ds:schemaRefs>
    <ds:schemaRef ds:uri="http://schemas.microsoft.com/office/2006/documentManagement/types"/>
    <ds:schemaRef ds:uri="http://purl.org/dc/terms/"/>
    <ds:schemaRef ds:uri="http://www.w3.org/XML/1998/namespace"/>
    <ds:schemaRef ds:uri="http://schemas.microsoft.com/office/2006/metadata/properties"/>
    <ds:schemaRef ds:uri="http://schemas.openxmlformats.org/package/2006/metadata/core-properties"/>
    <ds:schemaRef ds:uri="http://purl.org/dc/dcmitype/"/>
    <ds:schemaRef ds:uri="http://purl.org/dc/elements/1.1/"/>
    <ds:schemaRef ds:uri="68ae0fbe-d48c-45f8-98d1-0d887aeb7b33"/>
    <ds:schemaRef ds:uri="http://schemas.microsoft.com/office/infopath/2007/PartnerControls"/>
    <ds:schemaRef ds:uri="dab3d391-2e23-4d2c-84db-bed80872f5e5"/>
  </ds:schemaRefs>
</ds:datastoreItem>
</file>

<file path=customXml/itemProps2.xml><?xml version="1.0" encoding="utf-8"?>
<ds:datastoreItem xmlns:ds="http://schemas.openxmlformats.org/officeDocument/2006/customXml" ds:itemID="{859B6FB8-3A67-4B98-BB16-3675E68A1DB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ab3d391-2e23-4d2c-84db-bed80872f5e5"/>
    <ds:schemaRef ds:uri="68ae0fbe-d48c-45f8-98d1-0d887aeb7b3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6CFAA74-8FA5-4E22-B5D1-F5C048334706}">
  <ds:schemaRefs>
    <ds:schemaRef ds:uri="http://schemas.microsoft.com/sharepoint/events"/>
  </ds:schemaRefs>
</ds:datastoreItem>
</file>

<file path=customXml/itemProps4.xml><?xml version="1.0" encoding="utf-8"?>
<ds:datastoreItem xmlns:ds="http://schemas.openxmlformats.org/officeDocument/2006/customXml" ds:itemID="{603B5BDC-6F80-48C6-B91E-7655065A6F1C}">
  <ds:schemaRefs>
    <ds:schemaRef ds:uri="http://schemas.microsoft.com/sharepoint/v3/contenttype/forms"/>
  </ds:schemaRefs>
</ds:datastoreItem>
</file>

<file path=customXml/itemProps5.xml><?xml version="1.0" encoding="utf-8"?>
<ds:datastoreItem xmlns:ds="http://schemas.openxmlformats.org/officeDocument/2006/customXml" ds:itemID="{7E10673A-FDC7-492A-926F-73C276DAC8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4</Pages>
  <Words>2054</Words>
  <Characters>12330</Characters>
  <Application>Microsoft Office Word</Application>
  <DocSecurity>0</DocSecurity>
  <Lines>102</Lines>
  <Paragraphs>28</Paragraphs>
  <ScaleCrop>false</ScaleCrop>
  <Company/>
  <LinksUpToDate>false</LinksUpToDate>
  <CharactersWithSpaces>14356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Czarnecka-Niedbałko Agnieszka</dc:creator>
  <cp:keywords/>
  <dc:description/>
  <cp:lastModifiedBy>Czarnecka-Niedbałko Agnieszka</cp:lastModifiedBy>
  <cp:revision>7</cp:revision>
  <dcterms:created xsi:type="dcterms:W3CDTF">2016-09-06T09:06:00Z</dcterms:created>
  <dcterms:modified xsi:type="dcterms:W3CDTF">2017-09-26T07:57:00Z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DocIdItemGuid">
    <vt:lpwstr>eae08374-6e4e-471b-97d0-5c0a9bba7620</vt:lpwstr>
  </property>
  <property fmtid="{D5CDD505-2E9C-101B-9397-08002B2CF9AE}" pid="3" name="ContentTypeId">
    <vt:lpwstr>0x010100C8768BD8BD329C40A7B041F6F07FAB1A</vt:lpwstr>
  </property>
</Properties>
</file>